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586</w:t>
      </w:r>
    </w:p>
    <w:p>
      <w:r>
        <w:t>Bundesgericht (BGE), 2009-10-29, FR</w:t>
      </w:r>
    </w:p>
    <w:p>
      <w:r>
        <w:rPr>
          <w:b/>
        </w:rPr>
        <w:t xml:space="preserve">Quelle: </w:t>
      </w:r>
      <w:r>
        <w:t>https://mcp.opencaselaw.ch/entscheid/bge_137 III 586</w:t>
      </w:r>
    </w:p>
    <w:p>
      <w:r>
        <w:t>FR: ATF 137 III 586</w:t>
      </w:r>
    </w:p>
    <w:p>
      <w:r>
        <w:t>IT: DTF 137 III 586</w:t>
      </w:r>
    </w:p>
    <w:p>
      <w:pPr>
        <w:pStyle w:val="Heading2"/>
      </w:pPr>
      <w:r>
        <w:t>Regeste</w:t>
      </w:r>
    </w:p>
    <w:p>
      <w:r>
        <w:t>Regeste Anfechtbare Entscheide (Art. 90 ff. BGG); Rechtsnatur des Entscheides über vorsorgliche Massnahmen zugunsten eines minderjährigen Kindes gestützt auf aArt. 281 Abs. 1 und 2 ZGB. Die Anordnung vorsorglicher Massnahmen zugunsten eines minderjährigen Kindes gestützt auf aArt. 281 Abs. 1 und 2 ZGB ist ein Endentscheid im Sinn von Art. 90 BGG (E. 1.2).</w:t>
      </w:r>
    </w:p>
    <w:p>
      <w:pPr>
        <w:pStyle w:val="Heading2"/>
      </w:pPr>
      <w:r>
        <w:t>Erwägungen</w:t>
      </w:r>
    </w:p>
    <w:p>
      <w:r>
        <w:rPr>
          <w:b/>
        </w:rPr>
        <w:t>E. 1.2</w:t>
      </w:r>
    </w:p>
    <w:p>
      <w:r>
        <w:t>Selon la jurisprudence, les mesures provisoires prises en faveur d'un enfant majeur sur la base de l'ancien art. 281 al. 2 CC (en vigueur jusqu'au 31 décembre 2010; RO 2010 1739, 1838) sont des mesures d'exécution anticipée de ce qui est demandé au fond, qui sont prononcées pendant la procédure principale et pour la durée BGE 137 III 586 S. 588 de celle-ci. A ce titre, la décision qui les ordonne constitue une décision incidente au sens de l' art. 93 LTF ( ATF 135 III 238 consid. 2 et les références citées). Cette jurisprudence repose sur le principe selon lequel le devoir d'entretien des père et mère de l'enfant majeur revêt un caractère exceptionnel. Celui-là n'existe en effet que si les conditions - restrictives - de l' art. 277 al. 2 CC sont réunies ( ATF 117 II 127 consid. 3c p. 130), ce qui expose l'enfant majeur à devoir rembourser au parent défendeur les contributions versées à titre provisoire en cas de rejet de l'action au fond ( ATF 135 III 238 consid. 2). Le cas d'espèce se distingue de cette affaire en ce sens qu'il concerne les aliments versés à titre provisoire à un enfant mineur . Il convient d'examiner si cette circonstance influe sur la qualification de la décision prise en application de l'ancien art. 281 al. 1 et 2 CC telle qu'elle a été arrêtée dans la jurisprudence précitée. Contrairement à l'enfant majeur dont le droit à l'entretien dépend de la réalisation des conditions de l' art. 277 al. 2 CC et revêt ainsi un caractère exceptionnel ( ATF 118 II 97 consid. 4a p. 98), l'enfant mineur se voit conférer par la loi un droit à l'entretien de la naissance jusqu'à la majorité ( art. 277 al. 1 CC ). Ainsi, alors même que, dans le cadre de l'action alimentaire de l'enfant majeur dont la filiation est établie, le principe même du devoir d'entretien des père et mère ( art. 277 al. 2 CC ) doit être débattu, ce qui prive les versements provisoires de tout fondement en cas de rejet de l'action au fond, dans celle de l'enfant mineur dont la filiation est établie, l'obligation d'entretien existe de plein droit tant que dure la minorité ( art. 277 al. 1 CC ). Dès lors, si, au terme de la procédure au fond, le débirentier est libéré de l'exécution de son obligation, il n'en demeure pas moins que l'obligation d'entretien était, dans son principe, fondée et subsiste en elle-même malgré la libération du débirentier, avec pour conséquence que l'on ne peut exiger du crédirentier qu'il rembourse les montants perçus à titre provisoire. Dans le cas de la procédure concernant l'enfant mineur dont la filiation est établie (ancien art. 281 al. 2 CC ), les mesures provisoires ordonnées apparaissent ainsi comme des mesures de réglementation, soit des mesures qui règlent provisoirement, pour la durée du procès, le rapport de droit durable existant entre les parties (cf. sur cette notion: FABIENNE HOHL, Procédure civile, tome II, 2 e éd. 2010, n os 1737 et 1782 ss). En ce sens, elles doivent être rapprochées des mesures provisoires ordonnées pendant la procédure de divorce, lesquelles sont définitivement acquises ( ATF 130 I 347 consid. 3.2 p. 350; ATF 128 III 121 consid. 3c/bb p. 123), et la décision BGE 137 III 586 S. 589 qui les ordonne constitue, dès lors qu'elle met fin à l'instance sous l'angle procédural et ne sera pas revue dans la procédure au fond, une décision finale au sens de l' art. 90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